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20" w:rsidRDefault="00A73A1B" w:rsidP="00BF3203">
      <w:pPr>
        <w:spacing w:line="480" w:lineRule="exact"/>
        <w:jc w:val="distribute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color w:val="000000" w:themeColor="text1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0.5pt;margin-top:-38.65pt;width:56.6pt;height:39.85pt;z-index:251658240" stroked="f">
            <v:textbox style="mso-next-textbox:#_x0000_s1026">
              <w:txbxContent>
                <w:p w:rsidR="00960523" w:rsidRPr="00D81298" w:rsidRDefault="00960523">
                  <w:pPr>
                    <w:rPr>
                      <w:sz w:val="32"/>
                      <w:szCs w:val="32"/>
                    </w:rPr>
                  </w:pPr>
                  <w:r w:rsidRPr="00D81298">
                    <w:rPr>
                      <w:rFonts w:hint="eastAsia"/>
                      <w:sz w:val="32"/>
                      <w:szCs w:val="32"/>
                    </w:rPr>
                    <w:t>附件</w:t>
                  </w:r>
                  <w:r w:rsidRPr="00D81298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BF3203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 xml:space="preserve"> </w:t>
      </w:r>
      <w:r w:rsidR="00040CCC"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專門職業及技術人員</w:t>
      </w:r>
      <w:r w:rsidR="00A02460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高等</w:t>
      </w:r>
      <w:r w:rsidR="00040CCC"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考試大地工程技師考試</w:t>
      </w:r>
    </w:p>
    <w:p w:rsidR="00E94870" w:rsidRDefault="00BF3203" w:rsidP="009F0E9F">
      <w:pPr>
        <w:spacing w:afterLines="50" w:after="180" w:line="480" w:lineRule="exact"/>
        <w:jc w:val="distribute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 xml:space="preserve"> </w:t>
      </w:r>
      <w:r w:rsidR="00040CCC"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分階段考試</w:t>
      </w:r>
      <w:r w:rsidR="00040CCC" w:rsidRPr="00F53B9C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  <w:shd w:val="pct15" w:color="auto" w:fill="FFFFFF"/>
        </w:rPr>
        <w:t>第一</w:t>
      </w:r>
      <w:r w:rsidR="00A02460" w:rsidRPr="00F53B9C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  <w:shd w:val="pct15" w:color="auto" w:fill="FFFFFF"/>
        </w:rPr>
        <w:t>階段考試</w:t>
      </w:r>
      <w:r w:rsidR="00040CCC"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命題大綱</w:t>
      </w:r>
    </w:p>
    <w:p w:rsidR="001D7587" w:rsidRPr="001D7587" w:rsidRDefault="001D7587" w:rsidP="001D7587">
      <w:pPr>
        <w:tabs>
          <w:tab w:val="left" w:pos="7560"/>
        </w:tabs>
        <w:snapToGrid w:val="0"/>
        <w:jc w:val="right"/>
        <w:rPr>
          <w:rFonts w:ascii="標楷體" w:eastAsia="標楷體" w:hAnsi="標楷體" w:cs="新細明體"/>
          <w:b/>
          <w:color w:val="000000" w:themeColor="text1"/>
          <w:kern w:val="0"/>
          <w:szCs w:val="24"/>
        </w:rPr>
      </w:pPr>
      <w:r>
        <w:rPr>
          <w:rFonts w:ascii="標楷體" w:eastAsia="標楷體" w:hint="eastAsia"/>
          <w:color w:val="000000"/>
          <w:spacing w:val="-18"/>
          <w:sz w:val="20"/>
          <w:szCs w:val="20"/>
        </w:rPr>
        <w:t xml:space="preserve">      </w:t>
      </w:r>
      <w:r w:rsidRPr="001D7587">
        <w:rPr>
          <w:rFonts w:ascii="標楷體" w:eastAsia="標楷體" w:hint="eastAsia"/>
          <w:color w:val="000000"/>
          <w:spacing w:val="-18"/>
          <w:szCs w:val="24"/>
        </w:rPr>
        <w:t>中華民國105年2月</w:t>
      </w:r>
      <w:r w:rsidR="00BA4EDE">
        <w:rPr>
          <w:rFonts w:ascii="標楷體" w:eastAsia="標楷體" w:hint="eastAsia"/>
          <w:color w:val="000000"/>
          <w:spacing w:val="-18"/>
          <w:szCs w:val="24"/>
        </w:rPr>
        <w:t>5</w:t>
      </w:r>
      <w:r w:rsidRPr="001D7587">
        <w:rPr>
          <w:rFonts w:ascii="標楷體" w:eastAsia="標楷體" w:hint="eastAsia"/>
          <w:color w:val="000000"/>
          <w:spacing w:val="-18"/>
          <w:szCs w:val="24"/>
        </w:rPr>
        <w:t>日考選部選專二字第1053300211號公告訂定</w:t>
      </w:r>
    </w:p>
    <w:tbl>
      <w:tblPr>
        <w:tblW w:w="975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2422"/>
        <w:gridCol w:w="6663"/>
      </w:tblGrid>
      <w:tr w:rsidR="001D7587" w:rsidRPr="008E75B6" w:rsidTr="00F53B9C">
        <w:trPr>
          <w:cantSplit/>
          <w:trHeight w:val="579"/>
        </w:trPr>
        <w:tc>
          <w:tcPr>
            <w:tcW w:w="3094" w:type="dxa"/>
            <w:gridSpan w:val="2"/>
            <w:vAlign w:val="center"/>
          </w:tcPr>
          <w:p w:rsidR="001D7587" w:rsidRPr="00732B85" w:rsidRDefault="001D7587" w:rsidP="00732B85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732B85">
              <w:rPr>
                <w:rFonts w:eastAsia="標楷體" w:hint="eastAsia"/>
                <w:sz w:val="28"/>
                <w:szCs w:val="28"/>
                <w:shd w:val="clear" w:color="auto" w:fill="FFFFFF"/>
              </w:rPr>
              <w:t>專業科目數</w:t>
            </w:r>
          </w:p>
        </w:tc>
        <w:tc>
          <w:tcPr>
            <w:tcW w:w="6663" w:type="dxa"/>
            <w:vAlign w:val="center"/>
          </w:tcPr>
          <w:p w:rsidR="001D7587" w:rsidRPr="00732B85" w:rsidRDefault="001D7587" w:rsidP="00732B8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32B85">
              <w:rPr>
                <w:rFonts w:eastAsia="標楷體" w:hint="eastAsia"/>
                <w:sz w:val="28"/>
                <w:szCs w:val="28"/>
                <w:shd w:val="clear" w:color="auto" w:fill="FFFFFF"/>
              </w:rPr>
              <w:t>共計４科目</w:t>
            </w:r>
          </w:p>
        </w:tc>
      </w:tr>
      <w:tr w:rsidR="001D7587" w:rsidRPr="008E75B6" w:rsidTr="001D7587">
        <w:trPr>
          <w:cantSplit/>
          <w:trHeight w:val="478"/>
        </w:trPr>
        <w:tc>
          <w:tcPr>
            <w:tcW w:w="3094" w:type="dxa"/>
            <w:gridSpan w:val="2"/>
            <w:vAlign w:val="center"/>
          </w:tcPr>
          <w:p w:rsidR="001D7587" w:rsidRPr="001D7587" w:rsidRDefault="001D7587" w:rsidP="009B6EA2">
            <w:pPr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  <w:shd w:val="clear" w:color="auto" w:fill="FFFFFF"/>
              </w:rPr>
              <w:t>業務範圍及</w:t>
            </w:r>
          </w:p>
          <w:p w:rsidR="001D7587" w:rsidRPr="001D7587" w:rsidRDefault="001D7587" w:rsidP="009B6EA2">
            <w:pPr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  <w:shd w:val="clear" w:color="auto" w:fill="FFFFFF"/>
              </w:rPr>
              <w:t>核心能力</w:t>
            </w:r>
          </w:p>
        </w:tc>
        <w:tc>
          <w:tcPr>
            <w:tcW w:w="6663" w:type="dxa"/>
            <w:vAlign w:val="center"/>
          </w:tcPr>
          <w:p w:rsidR="001D7587" w:rsidRPr="001D7587" w:rsidRDefault="001D7587" w:rsidP="001D758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</w:rPr>
              <w:t>從事有關大地工程（包含土壤工程、岩石工程及工程地質）之調查、規劃、設計、研究、分析、試驗、評價、鑑定、施工規劃、施工設計及其資料提供等業務。</w:t>
            </w:r>
          </w:p>
        </w:tc>
      </w:tr>
      <w:tr w:rsidR="001D7587" w:rsidRPr="008E75B6" w:rsidTr="00F53B9C">
        <w:trPr>
          <w:cantSplit/>
          <w:trHeight w:val="606"/>
        </w:trPr>
        <w:tc>
          <w:tcPr>
            <w:tcW w:w="672" w:type="dxa"/>
            <w:vAlign w:val="center"/>
          </w:tcPr>
          <w:p w:rsidR="001D7587" w:rsidRPr="008E75B6" w:rsidRDefault="001D7587" w:rsidP="003B6F13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編號</w:t>
            </w:r>
          </w:p>
        </w:tc>
        <w:tc>
          <w:tcPr>
            <w:tcW w:w="2422" w:type="dxa"/>
            <w:vAlign w:val="center"/>
          </w:tcPr>
          <w:p w:rsidR="001D7587" w:rsidRPr="008E75B6" w:rsidRDefault="001D7587" w:rsidP="003B6F13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科目名稱</w:t>
            </w:r>
          </w:p>
        </w:tc>
        <w:tc>
          <w:tcPr>
            <w:tcW w:w="6663" w:type="dxa"/>
            <w:vAlign w:val="center"/>
          </w:tcPr>
          <w:p w:rsidR="001D7587" w:rsidRPr="008E75B6" w:rsidRDefault="001D7587" w:rsidP="002E1E17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命題大綱</w:t>
            </w:r>
          </w:p>
        </w:tc>
      </w:tr>
      <w:tr w:rsidR="001D7587" w:rsidRPr="008E75B6" w:rsidTr="00F53B9C">
        <w:trPr>
          <w:cantSplit/>
          <w:trHeight w:val="2615"/>
        </w:trPr>
        <w:tc>
          <w:tcPr>
            <w:tcW w:w="672" w:type="dxa"/>
            <w:vAlign w:val="center"/>
          </w:tcPr>
          <w:p w:rsidR="001D7587" w:rsidRPr="008E75B6" w:rsidRDefault="001D7587" w:rsidP="003B6F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2422" w:type="dxa"/>
            <w:vAlign w:val="center"/>
          </w:tcPr>
          <w:p w:rsidR="001D7587" w:rsidRPr="008E75B6" w:rsidRDefault="001D7587" w:rsidP="0022249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</w:rPr>
              <w:t>材料力學</w:t>
            </w:r>
          </w:p>
        </w:tc>
        <w:tc>
          <w:tcPr>
            <w:tcW w:w="6663" w:type="dxa"/>
            <w:vAlign w:val="center"/>
          </w:tcPr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（一）桿件斷面性質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（二）應力及應變分析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（三）軸力桿件斷面應力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（四）軸力桿件變位及內力分析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（五）梁桿件斷面應力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（六）梁桿件變位及內力分析</w:t>
            </w:r>
          </w:p>
          <w:p w:rsidR="001D7587" w:rsidRPr="008E75B6" w:rsidRDefault="001D7587" w:rsidP="00246AEE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（七）柱之挫屈分析</w:t>
            </w:r>
          </w:p>
        </w:tc>
      </w:tr>
      <w:tr w:rsidR="001D7587" w:rsidRPr="008E75B6" w:rsidTr="00F53B9C">
        <w:trPr>
          <w:cantSplit/>
          <w:trHeight w:val="4600"/>
        </w:trPr>
        <w:tc>
          <w:tcPr>
            <w:tcW w:w="672" w:type="dxa"/>
            <w:vAlign w:val="center"/>
          </w:tcPr>
          <w:p w:rsidR="001D7587" w:rsidRPr="008E75B6" w:rsidRDefault="001D7587" w:rsidP="003B6F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2422" w:type="dxa"/>
            <w:vAlign w:val="center"/>
          </w:tcPr>
          <w:p w:rsidR="001D7587" w:rsidRPr="008E75B6" w:rsidRDefault="001D7587" w:rsidP="0022249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工程材料</w:t>
            </w:r>
            <w:r w:rsidR="005B01A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與</w:t>
            </w: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土壤力學</w:t>
            </w:r>
          </w:p>
        </w:tc>
        <w:tc>
          <w:tcPr>
            <w:tcW w:w="6663" w:type="dxa"/>
          </w:tcPr>
          <w:p w:rsidR="001D7587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工程材料：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（一）土壤岩石材料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（二）水泥混凝土材料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（三）鋼鐵材料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（四）木材材料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（五）瀝青材料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土壤力學：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（一）土壤基本性質及分類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（二）土壤內應力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（三）土壤滲透與滲流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（四）土壤壓縮性質與壓密性質</w:t>
            </w:r>
          </w:p>
          <w:p w:rsidR="001D7587" w:rsidRPr="00CE01D0" w:rsidRDefault="001D7587" w:rsidP="00960523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（五）土壤夯實特性</w:t>
            </w:r>
          </w:p>
          <w:p w:rsidR="001D7587" w:rsidRPr="008E75B6" w:rsidRDefault="001D7587" w:rsidP="00960523">
            <w:pPr>
              <w:snapToGrid w:val="0"/>
              <w:spacing w:line="340" w:lineRule="exact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（六）土壤剪力強度</w:t>
            </w:r>
          </w:p>
        </w:tc>
      </w:tr>
      <w:tr w:rsidR="001D7587" w:rsidRPr="008E75B6" w:rsidTr="00F53B9C">
        <w:trPr>
          <w:trHeight w:val="2115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1D7587" w:rsidRPr="008E75B6" w:rsidRDefault="001D7587" w:rsidP="003B6F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D7587" w:rsidRPr="008E75B6" w:rsidRDefault="001D7587" w:rsidP="0022249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</w:rPr>
              <w:t>鋼筋混凝土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1D7587" w:rsidRPr="00225D20" w:rsidRDefault="001D7587" w:rsidP="00246AE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-8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（一）</w:t>
            </w:r>
            <w:r w:rsidRPr="00225D20">
              <w:rPr>
                <w:rFonts w:eastAsia="標楷體" w:hint="eastAsia"/>
                <w:color w:val="000000" w:themeColor="text1"/>
                <w:spacing w:val="-8"/>
                <w:sz w:val="28"/>
                <w:szCs w:val="28"/>
                <w:shd w:val="clear" w:color="auto" w:fill="FFFFFF"/>
              </w:rPr>
              <w:t>鋼筋混凝土之材料及設計原理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（二）鋼筋混凝土梁之分析與設計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（三）鋼筋混凝土柱之分析與設計</w:t>
            </w:r>
          </w:p>
          <w:p w:rsidR="001D7587" w:rsidRPr="00CE01D0" w:rsidRDefault="001D7587" w:rsidP="00246AE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（四）鋼筋混凝土版之分析與設計</w:t>
            </w:r>
          </w:p>
          <w:p w:rsidR="001D7587" w:rsidRPr="00246AEE" w:rsidRDefault="001D7587" w:rsidP="00246AE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pacing w:val="-8"/>
                <w:sz w:val="28"/>
                <w:szCs w:val="28"/>
                <w:shd w:val="clear" w:color="auto" w:fill="FFFFFF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（五）</w:t>
            </w:r>
            <w:r w:rsidRPr="00225D20">
              <w:rPr>
                <w:rFonts w:eastAsia="標楷體" w:hint="eastAsia"/>
                <w:color w:val="000000" w:themeColor="text1"/>
                <w:spacing w:val="-8"/>
                <w:sz w:val="28"/>
                <w:szCs w:val="28"/>
                <w:shd w:val="clear" w:color="auto" w:fill="FFFFFF"/>
              </w:rPr>
              <w:t>鋼筋混凝土基礎之分析與設計</w:t>
            </w:r>
          </w:p>
        </w:tc>
      </w:tr>
      <w:tr w:rsidR="001D7587" w:rsidRPr="008E75B6" w:rsidTr="00F53B9C">
        <w:trPr>
          <w:trHeight w:val="3670"/>
        </w:trPr>
        <w:tc>
          <w:tcPr>
            <w:tcW w:w="672" w:type="dxa"/>
            <w:vAlign w:val="center"/>
          </w:tcPr>
          <w:p w:rsidR="001D7587" w:rsidRPr="008E75B6" w:rsidRDefault="001D7587" w:rsidP="003B6F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四</w:t>
            </w:r>
          </w:p>
        </w:tc>
        <w:tc>
          <w:tcPr>
            <w:tcW w:w="2422" w:type="dxa"/>
            <w:vAlign w:val="center"/>
          </w:tcPr>
          <w:p w:rsidR="001D7587" w:rsidRPr="008E75B6" w:rsidRDefault="001D7587" w:rsidP="0022249E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</w:rPr>
              <w:t>平面測量</w:t>
            </w:r>
            <w:r w:rsidR="005B01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</w:rPr>
              <w:t>營建管理</w:t>
            </w:r>
          </w:p>
        </w:tc>
        <w:tc>
          <w:tcPr>
            <w:tcW w:w="6663" w:type="dxa"/>
          </w:tcPr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平面測量：</w:t>
            </w:r>
            <w:r w:rsidRPr="00CE01D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（一）誤差概論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（二）高程測量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（三）角度測量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（四）距離測量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營建管理：</w:t>
            </w:r>
            <w:r w:rsidRPr="00CE01D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1D7587" w:rsidRPr="00CE01D0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（一）品質管理</w:t>
            </w:r>
          </w:p>
          <w:p w:rsidR="001D7587" w:rsidRPr="009E1245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（二）</w:t>
            </w:r>
            <w:r w:rsidRPr="009E1245">
              <w:rPr>
                <w:rFonts w:eastAsia="標楷體" w:hint="eastAsia"/>
                <w:color w:val="000000" w:themeColor="text1"/>
                <w:sz w:val="28"/>
                <w:szCs w:val="28"/>
              </w:rPr>
              <w:t>進度管制</w:t>
            </w:r>
          </w:p>
          <w:p w:rsidR="001D7587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（三）成本控制</w:t>
            </w:r>
          </w:p>
          <w:p w:rsidR="001D7587" w:rsidRPr="008E75B6" w:rsidRDefault="001D7587" w:rsidP="00561D73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01D0">
              <w:rPr>
                <w:rFonts w:eastAsia="標楷體" w:hint="eastAsia"/>
                <w:color w:val="000000" w:themeColor="text1"/>
                <w:sz w:val="28"/>
                <w:szCs w:val="28"/>
              </w:rPr>
              <w:t>（四）工地環安衛管理</w:t>
            </w:r>
          </w:p>
        </w:tc>
      </w:tr>
      <w:tr w:rsidR="001D7587" w:rsidRPr="008E75B6" w:rsidTr="001D7587">
        <w:trPr>
          <w:trHeight w:val="1132"/>
        </w:trPr>
        <w:tc>
          <w:tcPr>
            <w:tcW w:w="3094" w:type="dxa"/>
            <w:gridSpan w:val="2"/>
            <w:vAlign w:val="center"/>
          </w:tcPr>
          <w:p w:rsidR="001D7587" w:rsidRPr="001D7587" w:rsidRDefault="001D7587" w:rsidP="009B6EA2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75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663" w:type="dxa"/>
            <w:vAlign w:val="center"/>
          </w:tcPr>
          <w:p w:rsidR="001D7587" w:rsidRPr="001D7587" w:rsidRDefault="001D7587" w:rsidP="001D758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D7587">
              <w:rPr>
                <w:rFonts w:ascii="標楷體" w:eastAsia="標楷體" w:hAnsi="標楷體" w:hint="eastAsia"/>
                <w:sz w:val="28"/>
                <w:szCs w:val="28"/>
              </w:rPr>
              <w:t>表列各應試科目命題大綱為考試命題範圍之例示，惟實際試題並不完全以此為限，仍可命擬相關之綜合性試題。</w:t>
            </w:r>
          </w:p>
        </w:tc>
      </w:tr>
    </w:tbl>
    <w:p w:rsidR="00D05144" w:rsidRDefault="00D05144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br w:type="page"/>
      </w:r>
    </w:p>
    <w:p w:rsidR="00BA1261" w:rsidRDefault="00040CCC" w:rsidP="00BA1261">
      <w:pPr>
        <w:snapToGrid w:val="0"/>
        <w:spacing w:line="480" w:lineRule="exact"/>
        <w:jc w:val="distribute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lastRenderedPageBreak/>
        <w:t>專門職業及技術人員</w:t>
      </w:r>
      <w:r w:rsidR="00A02460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高等</w:t>
      </w:r>
      <w:r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考試大地工程技師考試</w:t>
      </w:r>
    </w:p>
    <w:p w:rsidR="00040CCC" w:rsidRPr="00C440C1" w:rsidRDefault="00040CCC" w:rsidP="009F0E9F">
      <w:pPr>
        <w:snapToGrid w:val="0"/>
        <w:spacing w:afterLines="50" w:after="180" w:line="480" w:lineRule="exact"/>
        <w:jc w:val="distribute"/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36"/>
        </w:rPr>
      </w:pPr>
      <w:r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分階段考試</w:t>
      </w:r>
      <w:r w:rsidRPr="00F53B9C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  <w:shd w:val="pct15" w:color="auto" w:fill="FFFFFF"/>
        </w:rPr>
        <w:t>第二</w:t>
      </w:r>
      <w:r w:rsidR="00A02460" w:rsidRPr="00F53B9C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  <w:shd w:val="pct15" w:color="auto" w:fill="FFFFFF"/>
        </w:rPr>
        <w:t>階段考試</w:t>
      </w:r>
      <w:r w:rsidRPr="00C440C1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命題大綱</w:t>
      </w: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693"/>
        <w:gridCol w:w="6820"/>
      </w:tblGrid>
      <w:tr w:rsidR="001D7587" w:rsidRPr="008E75B6" w:rsidTr="00732B85">
        <w:trPr>
          <w:cantSplit/>
          <w:trHeight w:val="560"/>
        </w:trPr>
        <w:tc>
          <w:tcPr>
            <w:tcW w:w="3430" w:type="dxa"/>
            <w:gridSpan w:val="2"/>
            <w:vAlign w:val="center"/>
          </w:tcPr>
          <w:p w:rsidR="001D7587" w:rsidRPr="002E1E17" w:rsidRDefault="001D7587" w:rsidP="00732B85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2E1E17">
              <w:rPr>
                <w:rFonts w:eastAsia="標楷體" w:hint="eastAsia"/>
                <w:sz w:val="28"/>
                <w:szCs w:val="28"/>
                <w:shd w:val="clear" w:color="auto" w:fill="FFFFFF"/>
              </w:rPr>
              <w:t>專業科目數</w:t>
            </w:r>
          </w:p>
        </w:tc>
        <w:tc>
          <w:tcPr>
            <w:tcW w:w="6820" w:type="dxa"/>
            <w:vAlign w:val="center"/>
          </w:tcPr>
          <w:p w:rsidR="001D7587" w:rsidRPr="002E1E17" w:rsidRDefault="001D7587" w:rsidP="00732B8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E1E17">
              <w:rPr>
                <w:rFonts w:eastAsia="標楷體" w:hint="eastAsia"/>
                <w:sz w:val="28"/>
                <w:szCs w:val="28"/>
                <w:shd w:val="clear" w:color="auto" w:fill="FFFFFF"/>
              </w:rPr>
              <w:t>共計４科目</w:t>
            </w:r>
          </w:p>
        </w:tc>
      </w:tr>
      <w:tr w:rsidR="001D7587" w:rsidRPr="008E75B6" w:rsidTr="00FE7B54">
        <w:trPr>
          <w:cantSplit/>
          <w:trHeight w:val="478"/>
        </w:trPr>
        <w:tc>
          <w:tcPr>
            <w:tcW w:w="3430" w:type="dxa"/>
            <w:gridSpan w:val="2"/>
            <w:vAlign w:val="center"/>
          </w:tcPr>
          <w:p w:rsidR="001D7587" w:rsidRPr="001D7587" w:rsidRDefault="001D7587" w:rsidP="002E1E17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  <w:shd w:val="clear" w:color="auto" w:fill="FFFFFF"/>
              </w:rPr>
              <w:t>業務範圍及</w:t>
            </w:r>
          </w:p>
          <w:p w:rsidR="001D7587" w:rsidRPr="001D7587" w:rsidRDefault="001D7587" w:rsidP="002E1E17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  <w:shd w:val="clear" w:color="auto" w:fill="FFFFFF"/>
              </w:rPr>
              <w:t>核心能力</w:t>
            </w:r>
          </w:p>
        </w:tc>
        <w:tc>
          <w:tcPr>
            <w:tcW w:w="6820" w:type="dxa"/>
            <w:vAlign w:val="center"/>
          </w:tcPr>
          <w:p w:rsidR="001D7587" w:rsidRPr="001D7587" w:rsidRDefault="001D7587" w:rsidP="002E1E17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1D7587">
              <w:rPr>
                <w:rFonts w:eastAsia="標楷體" w:hint="eastAsia"/>
                <w:sz w:val="28"/>
                <w:szCs w:val="28"/>
              </w:rPr>
              <w:t>從事有關大地工程（包含土壤工程、岩石工程及工程地質）之調查、規劃、設計、研究、分析、試驗、評價、鑑定、施工規劃、施工設計及其資料提供等業務。</w:t>
            </w:r>
          </w:p>
        </w:tc>
      </w:tr>
      <w:tr w:rsidR="001D7587" w:rsidRPr="008E75B6" w:rsidTr="00732B85">
        <w:trPr>
          <w:cantSplit/>
          <w:trHeight w:val="606"/>
        </w:trPr>
        <w:tc>
          <w:tcPr>
            <w:tcW w:w="737" w:type="dxa"/>
            <w:vAlign w:val="center"/>
          </w:tcPr>
          <w:p w:rsidR="001D7587" w:rsidRPr="008E75B6" w:rsidRDefault="001D7587" w:rsidP="003B6F13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編號</w:t>
            </w:r>
          </w:p>
        </w:tc>
        <w:tc>
          <w:tcPr>
            <w:tcW w:w="2693" w:type="dxa"/>
            <w:vAlign w:val="center"/>
          </w:tcPr>
          <w:p w:rsidR="001D7587" w:rsidRPr="008E75B6" w:rsidRDefault="001D7587" w:rsidP="003B6F13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科目名稱</w:t>
            </w:r>
          </w:p>
        </w:tc>
        <w:tc>
          <w:tcPr>
            <w:tcW w:w="6820" w:type="dxa"/>
            <w:vAlign w:val="center"/>
          </w:tcPr>
          <w:p w:rsidR="001D7587" w:rsidRPr="008E75B6" w:rsidRDefault="001D7587" w:rsidP="003B6F13">
            <w:pPr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命題大綱</w:t>
            </w:r>
          </w:p>
        </w:tc>
      </w:tr>
      <w:tr w:rsidR="001D7587" w:rsidRPr="008E75B6" w:rsidTr="002E1E17">
        <w:trPr>
          <w:cantSplit/>
          <w:trHeight w:val="3182"/>
        </w:trPr>
        <w:tc>
          <w:tcPr>
            <w:tcW w:w="737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2693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土壤力學及土壤動力（含地震工程）</w:t>
            </w:r>
          </w:p>
        </w:tc>
        <w:tc>
          <w:tcPr>
            <w:tcW w:w="6820" w:type="dxa"/>
          </w:tcPr>
          <w:p w:rsidR="001D7587" w:rsidRPr="00CE01D0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(一)土壤基本性質：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1.土壤物理性質與試驗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2.土壤分類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(二)土壤力學性質：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1.透水性與滲流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2.壓縮與壓密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3.剪力強度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(三)夯實土品質控制：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1.夯實試驗與特性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2.夯實品質檢驗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(四)土壤動力：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1.振動學原理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2.地震學概論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3.土壤動力特性</w:t>
            </w:r>
          </w:p>
          <w:p w:rsidR="001D7587" w:rsidRPr="00CE01D0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color w:val="000000" w:themeColor="text1"/>
                <w:sz w:val="28"/>
                <w:szCs w:val="28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4.土壤液化潛能與損害評估</w:t>
            </w:r>
          </w:p>
          <w:p w:rsidR="001D7587" w:rsidRPr="008E75B6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01D0">
              <w:rPr>
                <w:rFonts w:ascii="標楷體" w:eastAsia="標楷體" w:hAnsi="Calibri" w:cs="Times New Roman" w:hint="eastAsia"/>
                <w:color w:val="000000" w:themeColor="text1"/>
                <w:sz w:val="28"/>
                <w:szCs w:val="28"/>
              </w:rPr>
              <w:t>5.土壤液化防治工法</w:t>
            </w:r>
          </w:p>
        </w:tc>
      </w:tr>
      <w:tr w:rsidR="001D7587" w:rsidRPr="008E75B6" w:rsidTr="002E1E17">
        <w:trPr>
          <w:cantSplit/>
          <w:trHeight w:val="5091"/>
        </w:trPr>
        <w:tc>
          <w:tcPr>
            <w:tcW w:w="737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2693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基礎工程與設計</w:t>
            </w:r>
          </w:p>
        </w:tc>
        <w:tc>
          <w:tcPr>
            <w:tcW w:w="6820" w:type="dxa"/>
          </w:tcPr>
          <w:p w:rsidR="001D7587" w:rsidRPr="0025027B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(一)擋土牆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1.側向土壓力理論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2.擋土牆穩定性分析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(二)淺基礎及深基礎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1.淺基礎之支承力及沉陷量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2.筏式基礎之支承力及沉陷量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3.樁基礎支承力及沉陷量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leftChars="245" w:left="868" w:hangingChars="100" w:hanging="280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4.沉箱基礎及井式基礎之支承力與沉陷量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5.各種基礎型式之選擇及設計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(三)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深開挖及鄰房保護：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1.擋土與支撐系統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2.擋土開挖穩定與變形分析</w:t>
            </w:r>
          </w:p>
          <w:p w:rsidR="001D7587" w:rsidRDefault="001D7587" w:rsidP="002E1E17">
            <w:pPr>
              <w:snapToGrid w:val="0"/>
              <w:spacing w:line="360" w:lineRule="exact"/>
              <w:ind w:leftChars="251" w:left="848" w:hangingChars="88" w:hanging="246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3.</w:t>
            </w:r>
            <w:r w:rsidRPr="000C5BEE">
              <w:rPr>
                <w:rFonts w:ascii="標楷體" w:eastAsia="標楷體" w:hAnsi="Calibri" w:cs="Times New Roman" w:hint="eastAsia"/>
                <w:spacing w:val="-6"/>
                <w:sz w:val="28"/>
                <w:szCs w:val="28"/>
              </w:rPr>
              <w:t>深開挖引致沉陷問題與其影響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4.開挖之鄰房保護措施及監測</w:t>
            </w:r>
          </w:p>
        </w:tc>
      </w:tr>
      <w:tr w:rsidR="001D7587" w:rsidRPr="008E75B6" w:rsidTr="002E1E17">
        <w:trPr>
          <w:trHeight w:val="5285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工程地質及工址調查</w:t>
            </w:r>
          </w:p>
        </w:tc>
        <w:tc>
          <w:tcPr>
            <w:tcW w:w="6820" w:type="dxa"/>
            <w:tcBorders>
              <w:bottom w:val="single" w:sz="4" w:space="0" w:color="auto"/>
            </w:tcBorders>
          </w:tcPr>
          <w:p w:rsidR="001D7587" w:rsidRPr="0025027B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(一)工程地質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leftChars="225" w:left="823" w:hangingChars="101" w:hanging="283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1.地形地質背景與工程地質特性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2.工程地質中</w:t>
            </w: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之材料因素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3.地質構造與工程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4.工程地質中之環境因素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5.工程地質之計量化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6.工程地質在土木工程之應用</w:t>
            </w:r>
          </w:p>
          <w:p w:rsidR="001D7587" w:rsidRPr="009E1245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9E1245">
              <w:rPr>
                <w:rFonts w:ascii="標楷體" w:eastAsia="標楷體" w:hAnsi="Calibri" w:cs="Times New Roman" w:hint="eastAsia"/>
                <w:sz w:val="28"/>
                <w:szCs w:val="28"/>
              </w:rPr>
              <w:t>(二)工址調查：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1.地質圖判讀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2.地表地質調查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3.鑽探調查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4.地下水及地下水文調查</w:t>
            </w:r>
          </w:p>
          <w:p w:rsidR="001D7587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 xml:space="preserve">5.基地調查、現地量測與試驗 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 xml:space="preserve">   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eastAsia="標楷體"/>
                <w:sz w:val="28"/>
                <w:szCs w:val="28"/>
                <w:shd w:val="clear" w:color="auto" w:fill="FFFFFF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6.地質敏感區與地質災害</w:t>
            </w:r>
          </w:p>
        </w:tc>
      </w:tr>
      <w:tr w:rsidR="001D7587" w:rsidRPr="008E75B6" w:rsidTr="002E1E17">
        <w:trPr>
          <w:trHeight w:val="6509"/>
        </w:trPr>
        <w:tc>
          <w:tcPr>
            <w:tcW w:w="737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75B6">
              <w:rPr>
                <w:rFonts w:eastAsia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四</w:t>
            </w:r>
          </w:p>
        </w:tc>
        <w:tc>
          <w:tcPr>
            <w:tcW w:w="2693" w:type="dxa"/>
            <w:vAlign w:val="center"/>
          </w:tcPr>
          <w:p w:rsidR="001D7587" w:rsidRPr="008E75B6" w:rsidRDefault="001D7587" w:rsidP="002E1E1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岩石力學</w:t>
            </w:r>
            <w:r w:rsidR="005B01A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與</w:t>
            </w:r>
            <w:bookmarkStart w:id="0" w:name="_GoBack"/>
            <w:bookmarkEnd w:id="0"/>
            <w:r w:rsidRPr="008E75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隧道工程及山坡地工程（含水土保持工程）</w:t>
            </w:r>
          </w:p>
        </w:tc>
        <w:tc>
          <w:tcPr>
            <w:tcW w:w="6820" w:type="dxa"/>
          </w:tcPr>
          <w:p w:rsidR="001D7587" w:rsidRPr="0025027B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(一)岩石力學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leftChars="251" w:left="910" w:hangingChars="110" w:hanging="308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1.岩石指數與工程參數之調查檢測與應用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2.岩體初始應力之量測與應用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 xml:space="preserve">3.岩石強度與破壞準則 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4.岩體中弱面之工程特性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5.岩體分類及應用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(二)隧道工程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1.隧道工程之調查與檢測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2.隧道工程之規劃與設計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3.隧道工程之施工與監測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4.隧道工程之災變與緊急處置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left="566" w:hangingChars="202" w:hanging="566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(三)山坡地工程（含水土保持工程）</w:t>
            </w:r>
            <w:r>
              <w:rPr>
                <w:rFonts w:ascii="標楷體" w:eastAsia="標楷體" w:hAnsi="Calibri" w:cs="Times New Roman" w:hint="eastAsia"/>
                <w:sz w:val="28"/>
                <w:szCs w:val="28"/>
              </w:rPr>
              <w:t>：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1.山坡地之水文及水理分析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leftChars="251" w:left="896" w:hangingChars="105" w:hanging="294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2.坡地地表與地下排水設施之種類及應用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3.邊坡穩定分析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4.水土保持工程及防災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ascii="標楷體" w:eastAsia="標楷體" w:hAnsi="Calibri" w:cs="Times New Roman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5.土砂災害之整治工法</w:t>
            </w:r>
          </w:p>
          <w:p w:rsidR="001D7587" w:rsidRPr="0025027B" w:rsidRDefault="001D7587" w:rsidP="002E1E17">
            <w:pPr>
              <w:snapToGrid w:val="0"/>
              <w:spacing w:line="360" w:lineRule="exact"/>
              <w:ind w:firstLineChars="215" w:firstLine="602"/>
              <w:rPr>
                <w:rFonts w:eastAsia="標楷體"/>
                <w:sz w:val="28"/>
                <w:szCs w:val="28"/>
              </w:rPr>
            </w:pPr>
            <w:r w:rsidRPr="0025027B">
              <w:rPr>
                <w:rFonts w:ascii="標楷體" w:eastAsia="標楷體" w:hAnsi="Calibri" w:cs="Times New Roman" w:hint="eastAsia"/>
                <w:sz w:val="28"/>
                <w:szCs w:val="28"/>
              </w:rPr>
              <w:t>6.大地監測及管理維護</w:t>
            </w:r>
          </w:p>
        </w:tc>
      </w:tr>
      <w:tr w:rsidR="001D04C7" w:rsidRPr="008E75B6" w:rsidTr="007E0803">
        <w:trPr>
          <w:trHeight w:val="1078"/>
        </w:trPr>
        <w:tc>
          <w:tcPr>
            <w:tcW w:w="3430" w:type="dxa"/>
            <w:gridSpan w:val="2"/>
            <w:vAlign w:val="center"/>
          </w:tcPr>
          <w:p w:rsidR="001D04C7" w:rsidRPr="001D7587" w:rsidRDefault="001D04C7" w:rsidP="009B6EA2">
            <w:pPr>
              <w:spacing w:line="2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75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820" w:type="dxa"/>
            <w:vAlign w:val="center"/>
          </w:tcPr>
          <w:p w:rsidR="001D04C7" w:rsidRPr="001D7587" w:rsidRDefault="001D04C7" w:rsidP="009B6EA2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D7587">
              <w:rPr>
                <w:rFonts w:ascii="標楷體" w:eastAsia="標楷體" w:hAnsi="標楷體" w:hint="eastAsia"/>
                <w:sz w:val="28"/>
                <w:szCs w:val="28"/>
              </w:rPr>
              <w:t>表列各應試科目命題大綱為考試命題範圍之例示，惟實際試題並不完全以此為限，仍可命擬相關之綜合性試題。</w:t>
            </w:r>
          </w:p>
        </w:tc>
      </w:tr>
    </w:tbl>
    <w:p w:rsidR="00040CCC" w:rsidRPr="00040CCC" w:rsidRDefault="00040CCC" w:rsidP="00040CCC">
      <w:pPr>
        <w:jc w:val="center"/>
        <w:rPr>
          <w:sz w:val="32"/>
          <w:szCs w:val="32"/>
        </w:rPr>
      </w:pPr>
    </w:p>
    <w:sectPr w:rsidR="00040CCC" w:rsidRPr="00040CCC" w:rsidSect="001D04C7">
      <w:footerReference w:type="default" r:id="rId8"/>
      <w:pgSz w:w="11907" w:h="16839" w:code="9"/>
      <w:pgMar w:top="851" w:right="708" w:bottom="993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1B" w:rsidRDefault="00A73A1B" w:rsidP="003224C5">
      <w:r>
        <w:separator/>
      </w:r>
    </w:p>
  </w:endnote>
  <w:endnote w:type="continuationSeparator" w:id="0">
    <w:p w:rsidR="00A73A1B" w:rsidRDefault="00A73A1B" w:rsidP="0032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508"/>
      <w:docPartObj>
        <w:docPartGallery w:val="Page Numbers (Bottom of Page)"/>
        <w:docPartUnique/>
      </w:docPartObj>
    </w:sdtPr>
    <w:sdtEndPr/>
    <w:sdtContent>
      <w:p w:rsidR="00960523" w:rsidRDefault="00A73A1B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5B01A8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960523" w:rsidRDefault="009605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1B" w:rsidRDefault="00A73A1B" w:rsidP="003224C5">
      <w:r>
        <w:separator/>
      </w:r>
    </w:p>
  </w:footnote>
  <w:footnote w:type="continuationSeparator" w:id="0">
    <w:p w:rsidR="00A73A1B" w:rsidRDefault="00A73A1B" w:rsidP="0032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1602"/>
    <w:multiLevelType w:val="hybridMultilevel"/>
    <w:tmpl w:val="1CD0BB46"/>
    <w:lvl w:ilvl="0" w:tplc="A96AB144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44A43"/>
    <w:multiLevelType w:val="hybridMultilevel"/>
    <w:tmpl w:val="B21C8458"/>
    <w:lvl w:ilvl="0" w:tplc="F4DE796C">
      <w:start w:val="1"/>
      <w:numFmt w:val="decimal"/>
      <w:lvlText w:val="%1."/>
      <w:lvlJc w:val="left"/>
      <w:pPr>
        <w:ind w:left="96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2" w15:restartNumberingAfterBreak="0">
    <w:nsid w:val="3EBC7A70"/>
    <w:multiLevelType w:val="hybridMultilevel"/>
    <w:tmpl w:val="B21C8458"/>
    <w:lvl w:ilvl="0" w:tplc="F4DE796C">
      <w:start w:val="1"/>
      <w:numFmt w:val="decimal"/>
      <w:lvlText w:val="%1."/>
      <w:lvlJc w:val="left"/>
      <w:pPr>
        <w:ind w:left="96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3" w15:restartNumberingAfterBreak="0">
    <w:nsid w:val="62413277"/>
    <w:multiLevelType w:val="hybridMultilevel"/>
    <w:tmpl w:val="080E5514"/>
    <w:lvl w:ilvl="0" w:tplc="2566447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4" w15:restartNumberingAfterBreak="0">
    <w:nsid w:val="6C2B781F"/>
    <w:multiLevelType w:val="hybridMultilevel"/>
    <w:tmpl w:val="4F060F56"/>
    <w:lvl w:ilvl="0" w:tplc="954AC25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CCC"/>
    <w:rsid w:val="000332FC"/>
    <w:rsid w:val="00040CCC"/>
    <w:rsid w:val="00055283"/>
    <w:rsid w:val="000C5BEE"/>
    <w:rsid w:val="000D0963"/>
    <w:rsid w:val="00124AEA"/>
    <w:rsid w:val="001460E2"/>
    <w:rsid w:val="001C18EE"/>
    <w:rsid w:val="001D04C7"/>
    <w:rsid w:val="001D7587"/>
    <w:rsid w:val="002168F3"/>
    <w:rsid w:val="0022249E"/>
    <w:rsid w:val="00225D20"/>
    <w:rsid w:val="00230DD7"/>
    <w:rsid w:val="00246AEE"/>
    <w:rsid w:val="0025027B"/>
    <w:rsid w:val="00293EC2"/>
    <w:rsid w:val="002941D6"/>
    <w:rsid w:val="0029506E"/>
    <w:rsid w:val="002A5AEA"/>
    <w:rsid w:val="002E1E17"/>
    <w:rsid w:val="00315F8F"/>
    <w:rsid w:val="003224C5"/>
    <w:rsid w:val="003B185E"/>
    <w:rsid w:val="003B6F13"/>
    <w:rsid w:val="00427BB4"/>
    <w:rsid w:val="00466E99"/>
    <w:rsid w:val="00472627"/>
    <w:rsid w:val="00492A63"/>
    <w:rsid w:val="004B0B26"/>
    <w:rsid w:val="004C05F2"/>
    <w:rsid w:val="004E0BC4"/>
    <w:rsid w:val="005031F7"/>
    <w:rsid w:val="0050759B"/>
    <w:rsid w:val="0055567E"/>
    <w:rsid w:val="00561D73"/>
    <w:rsid w:val="00573D61"/>
    <w:rsid w:val="005B01A8"/>
    <w:rsid w:val="005D0F45"/>
    <w:rsid w:val="005D356A"/>
    <w:rsid w:val="005E4D83"/>
    <w:rsid w:val="00603001"/>
    <w:rsid w:val="0060679A"/>
    <w:rsid w:val="00640CC1"/>
    <w:rsid w:val="00653E39"/>
    <w:rsid w:val="006640BF"/>
    <w:rsid w:val="0066776F"/>
    <w:rsid w:val="006845E5"/>
    <w:rsid w:val="006849B5"/>
    <w:rsid w:val="006C6FB8"/>
    <w:rsid w:val="006F0D05"/>
    <w:rsid w:val="00723594"/>
    <w:rsid w:val="00732B85"/>
    <w:rsid w:val="007672C1"/>
    <w:rsid w:val="00773236"/>
    <w:rsid w:val="00781353"/>
    <w:rsid w:val="007B0E9F"/>
    <w:rsid w:val="007B5FD6"/>
    <w:rsid w:val="007D541F"/>
    <w:rsid w:val="007E0803"/>
    <w:rsid w:val="007E6B59"/>
    <w:rsid w:val="008245E9"/>
    <w:rsid w:val="0083505D"/>
    <w:rsid w:val="00846043"/>
    <w:rsid w:val="00860DE7"/>
    <w:rsid w:val="00894DF1"/>
    <w:rsid w:val="008E194D"/>
    <w:rsid w:val="008E75B6"/>
    <w:rsid w:val="00913226"/>
    <w:rsid w:val="00923D0D"/>
    <w:rsid w:val="0092526A"/>
    <w:rsid w:val="00925C6C"/>
    <w:rsid w:val="009272E0"/>
    <w:rsid w:val="009318A7"/>
    <w:rsid w:val="00945D1B"/>
    <w:rsid w:val="00955C22"/>
    <w:rsid w:val="00960523"/>
    <w:rsid w:val="009746F2"/>
    <w:rsid w:val="009970E6"/>
    <w:rsid w:val="009B1068"/>
    <w:rsid w:val="009E1245"/>
    <w:rsid w:val="009E2654"/>
    <w:rsid w:val="009E57A5"/>
    <w:rsid w:val="009F0E9F"/>
    <w:rsid w:val="009F65F4"/>
    <w:rsid w:val="00A02460"/>
    <w:rsid w:val="00A43E7C"/>
    <w:rsid w:val="00A64462"/>
    <w:rsid w:val="00A73A1B"/>
    <w:rsid w:val="00A913B4"/>
    <w:rsid w:val="00B1682F"/>
    <w:rsid w:val="00B579CC"/>
    <w:rsid w:val="00BA1261"/>
    <w:rsid w:val="00BA4EDE"/>
    <w:rsid w:val="00BE39B3"/>
    <w:rsid w:val="00BF3203"/>
    <w:rsid w:val="00C22929"/>
    <w:rsid w:val="00C440C1"/>
    <w:rsid w:val="00C56467"/>
    <w:rsid w:val="00CA1BBA"/>
    <w:rsid w:val="00CB0DD7"/>
    <w:rsid w:val="00CE01D0"/>
    <w:rsid w:val="00CF61B6"/>
    <w:rsid w:val="00D011C8"/>
    <w:rsid w:val="00D05144"/>
    <w:rsid w:val="00D13AD3"/>
    <w:rsid w:val="00D26C35"/>
    <w:rsid w:val="00D278F2"/>
    <w:rsid w:val="00D541C1"/>
    <w:rsid w:val="00D63F15"/>
    <w:rsid w:val="00D64934"/>
    <w:rsid w:val="00D662FF"/>
    <w:rsid w:val="00D81298"/>
    <w:rsid w:val="00E10A1C"/>
    <w:rsid w:val="00E530CD"/>
    <w:rsid w:val="00E72345"/>
    <w:rsid w:val="00E94870"/>
    <w:rsid w:val="00ED0FA1"/>
    <w:rsid w:val="00ED3C13"/>
    <w:rsid w:val="00ED60D9"/>
    <w:rsid w:val="00F072A2"/>
    <w:rsid w:val="00F11B2C"/>
    <w:rsid w:val="00F356AB"/>
    <w:rsid w:val="00F42036"/>
    <w:rsid w:val="00F53B9C"/>
    <w:rsid w:val="00F6221C"/>
    <w:rsid w:val="00FE3037"/>
    <w:rsid w:val="00FE3A11"/>
    <w:rsid w:val="00FE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14F532-0537-42BB-A6C9-27B0DF0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4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4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4C5"/>
    <w:rPr>
      <w:sz w:val="20"/>
      <w:szCs w:val="20"/>
    </w:rPr>
  </w:style>
  <w:style w:type="paragraph" w:styleId="a7">
    <w:name w:val="List Paragraph"/>
    <w:basedOn w:val="a"/>
    <w:uiPriority w:val="34"/>
    <w:qFormat/>
    <w:rsid w:val="008E75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5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5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53C5C-8C66-45E6-9CCF-51F3B0B4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9878</dc:creator>
  <cp:lastModifiedBy>林羽萱</cp:lastModifiedBy>
  <cp:revision>46</cp:revision>
  <cp:lastPrinted>2016-02-05T07:41:00Z</cp:lastPrinted>
  <dcterms:created xsi:type="dcterms:W3CDTF">2015-10-20T02:04:00Z</dcterms:created>
  <dcterms:modified xsi:type="dcterms:W3CDTF">2020-04-14T03:15:00Z</dcterms:modified>
</cp:coreProperties>
</file>